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B3C" w:rsidRPr="002C0B3C" w:rsidRDefault="002C0B3C" w:rsidP="002C0B3C">
      <w:pPr>
        <w:pStyle w:val="Patvirtinta"/>
        <w:tabs>
          <w:tab w:val="clear" w:pos="1304"/>
          <w:tab w:val="clear" w:pos="1457"/>
          <w:tab w:val="clear" w:pos="1604"/>
          <w:tab w:val="clear" w:pos="1757"/>
          <w:tab w:val="left" w:pos="5954"/>
        </w:tabs>
        <w:ind w:right="-41" w:hanging="566"/>
        <w:jc w:val="right"/>
        <w:outlineLvl w:val="0"/>
        <w:rPr>
          <w:rFonts w:ascii="Times New Roman" w:hAnsi="Times New Roman"/>
          <w:b/>
          <w:noProof/>
          <w:sz w:val="22"/>
          <w:szCs w:val="22"/>
          <w:lang w:val="lt-LT"/>
        </w:rPr>
      </w:pPr>
      <w:r w:rsidRPr="002C0B3C">
        <w:rPr>
          <w:rFonts w:ascii="Times New Roman" w:hAnsi="Times New Roman"/>
          <w:b/>
          <w:noProof/>
          <w:sz w:val="22"/>
          <w:szCs w:val="22"/>
          <w:lang w:val="lt-LT"/>
        </w:rPr>
        <w:t>Išrašas</w:t>
      </w:r>
    </w:p>
    <w:p w:rsidR="002C0B3C" w:rsidRDefault="002C0B3C" w:rsidP="002C0B3C">
      <w:pPr>
        <w:pStyle w:val="Patvirtinta"/>
        <w:tabs>
          <w:tab w:val="clear" w:pos="1304"/>
          <w:tab w:val="clear" w:pos="1457"/>
          <w:tab w:val="clear" w:pos="1604"/>
          <w:tab w:val="clear" w:pos="1757"/>
          <w:tab w:val="left" w:pos="5954"/>
        </w:tabs>
        <w:ind w:right="-41" w:hanging="566"/>
        <w:jc w:val="right"/>
        <w:outlineLvl w:val="0"/>
        <w:rPr>
          <w:rFonts w:ascii="Times New Roman" w:hAnsi="Times New Roman"/>
          <w:noProof/>
          <w:sz w:val="22"/>
          <w:szCs w:val="22"/>
          <w:lang w:val="lt-LT"/>
        </w:rPr>
      </w:pPr>
    </w:p>
    <w:p w:rsidR="002C0B3C" w:rsidRPr="00916B4B" w:rsidRDefault="002C0B3C" w:rsidP="002C0B3C">
      <w:pPr>
        <w:pStyle w:val="Patvirtinta"/>
        <w:tabs>
          <w:tab w:val="clear" w:pos="1304"/>
          <w:tab w:val="clear" w:pos="1457"/>
          <w:tab w:val="clear" w:pos="1604"/>
          <w:tab w:val="clear" w:pos="1757"/>
          <w:tab w:val="left" w:pos="5954"/>
        </w:tabs>
        <w:ind w:right="-41" w:hanging="566"/>
        <w:jc w:val="both"/>
        <w:outlineLvl w:val="0"/>
        <w:rPr>
          <w:rFonts w:ascii="Times New Roman" w:hAnsi="Times New Roman"/>
          <w:noProof/>
          <w:sz w:val="22"/>
          <w:szCs w:val="22"/>
          <w:lang w:val="lt-LT"/>
        </w:rPr>
      </w:pPr>
      <w:r w:rsidRPr="00916B4B">
        <w:rPr>
          <w:rFonts w:ascii="Times New Roman" w:hAnsi="Times New Roman"/>
          <w:noProof/>
          <w:sz w:val="22"/>
          <w:szCs w:val="22"/>
          <w:lang w:val="lt-LT"/>
        </w:rPr>
        <w:t>PRITARTA</w:t>
      </w:r>
    </w:p>
    <w:p w:rsidR="002C0B3C" w:rsidRPr="00916B4B" w:rsidRDefault="002C0B3C" w:rsidP="002C0B3C">
      <w:pPr>
        <w:pStyle w:val="Patvirtinta"/>
        <w:tabs>
          <w:tab w:val="clear" w:pos="1304"/>
          <w:tab w:val="clear" w:pos="1457"/>
          <w:tab w:val="clear" w:pos="1604"/>
          <w:tab w:val="clear" w:pos="1757"/>
          <w:tab w:val="left" w:pos="5387"/>
        </w:tabs>
        <w:ind w:left="5387" w:right="-40"/>
        <w:outlineLvl w:val="0"/>
        <w:rPr>
          <w:rFonts w:ascii="Times New Roman" w:hAnsi="Times New Roman"/>
          <w:noProof/>
          <w:sz w:val="22"/>
          <w:szCs w:val="22"/>
          <w:lang w:val="lt-LT"/>
        </w:rPr>
      </w:pPr>
      <w:r w:rsidRPr="00916B4B">
        <w:rPr>
          <w:rFonts w:ascii="Times New Roman" w:hAnsi="Times New Roman"/>
          <w:noProof/>
          <w:sz w:val="22"/>
          <w:szCs w:val="22"/>
          <w:lang w:val="lt-LT"/>
        </w:rPr>
        <w:t xml:space="preserve">Kaišiadorių rajono savivaldybės </w:t>
      </w:r>
    </w:p>
    <w:p w:rsidR="002C0B3C" w:rsidRPr="00916B4B" w:rsidRDefault="002C0B3C" w:rsidP="002C0B3C">
      <w:pPr>
        <w:pStyle w:val="Patvirtinta"/>
        <w:tabs>
          <w:tab w:val="clear" w:pos="1304"/>
          <w:tab w:val="clear" w:pos="1457"/>
          <w:tab w:val="clear" w:pos="1604"/>
          <w:tab w:val="clear" w:pos="1757"/>
          <w:tab w:val="left" w:pos="5387"/>
        </w:tabs>
        <w:ind w:left="5387" w:right="-40"/>
        <w:outlineLvl w:val="0"/>
        <w:rPr>
          <w:rFonts w:ascii="Times New Roman" w:hAnsi="Times New Roman"/>
          <w:noProof/>
          <w:sz w:val="22"/>
          <w:szCs w:val="22"/>
          <w:lang w:val="lt-LT"/>
        </w:rPr>
      </w:pPr>
      <w:r w:rsidRPr="00916B4B">
        <w:rPr>
          <w:rFonts w:ascii="Times New Roman" w:hAnsi="Times New Roman"/>
          <w:noProof/>
          <w:sz w:val="22"/>
          <w:szCs w:val="22"/>
          <w:lang w:val="lt-LT"/>
        </w:rPr>
        <w:t xml:space="preserve">administracijos direktoriaus </w:t>
      </w:r>
    </w:p>
    <w:p w:rsidR="002C0B3C" w:rsidRPr="00916B4B" w:rsidRDefault="002C0B3C" w:rsidP="002C0B3C">
      <w:pPr>
        <w:pStyle w:val="Patvirtinta"/>
        <w:tabs>
          <w:tab w:val="clear" w:pos="1304"/>
          <w:tab w:val="clear" w:pos="1457"/>
          <w:tab w:val="clear" w:pos="1604"/>
          <w:tab w:val="clear" w:pos="1757"/>
          <w:tab w:val="left" w:pos="5387"/>
        </w:tabs>
        <w:ind w:left="5387" w:right="-40"/>
        <w:outlineLvl w:val="0"/>
        <w:rPr>
          <w:rFonts w:ascii="Times New Roman" w:hAnsi="Times New Roman"/>
          <w:noProof/>
          <w:sz w:val="22"/>
          <w:szCs w:val="22"/>
          <w:lang w:val="lt-LT"/>
        </w:rPr>
      </w:pPr>
      <w:r w:rsidRPr="00916B4B">
        <w:rPr>
          <w:rFonts w:ascii="Times New Roman" w:hAnsi="Times New Roman"/>
          <w:noProof/>
          <w:sz w:val="22"/>
          <w:szCs w:val="22"/>
          <w:lang w:val="lt-LT"/>
        </w:rPr>
        <w:t>2024 m. rugpjūčio 30 d. įsakymu Nr. V1E-639</w:t>
      </w:r>
    </w:p>
    <w:p w:rsidR="002C0B3C" w:rsidRPr="006F382D" w:rsidRDefault="002C0B3C" w:rsidP="002C0B3C">
      <w:pPr>
        <w:jc w:val="both"/>
        <w:rPr>
          <w:color w:val="000000" w:themeColor="text1"/>
        </w:rPr>
      </w:pPr>
    </w:p>
    <w:p w:rsidR="002C0B3C" w:rsidRPr="00916B4B" w:rsidRDefault="002C0B3C" w:rsidP="002C0B3C">
      <w:pPr>
        <w:ind w:left="5040"/>
        <w:jc w:val="both"/>
        <w:rPr>
          <w:color w:val="000000" w:themeColor="text1"/>
          <w:sz w:val="22"/>
          <w:szCs w:val="22"/>
        </w:rPr>
      </w:pPr>
      <w:r w:rsidRPr="006F382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</w:t>
      </w:r>
      <w:r w:rsidRPr="006F382D">
        <w:rPr>
          <w:color w:val="000000" w:themeColor="text1"/>
        </w:rPr>
        <w:t xml:space="preserve"> </w:t>
      </w:r>
      <w:r w:rsidRPr="00916B4B">
        <w:rPr>
          <w:color w:val="000000" w:themeColor="text1"/>
          <w:sz w:val="22"/>
          <w:szCs w:val="22"/>
        </w:rPr>
        <w:t>PATVIRTINTA</w:t>
      </w:r>
    </w:p>
    <w:p w:rsidR="002C0B3C" w:rsidRPr="00916B4B" w:rsidRDefault="002C0B3C" w:rsidP="002C0B3C">
      <w:pPr>
        <w:ind w:firstLine="720"/>
        <w:rPr>
          <w:color w:val="000000" w:themeColor="text1"/>
          <w:sz w:val="22"/>
          <w:szCs w:val="22"/>
        </w:rPr>
      </w:pPr>
      <w:r w:rsidRPr="00916B4B">
        <w:rPr>
          <w:color w:val="000000" w:themeColor="text1"/>
          <w:sz w:val="22"/>
          <w:szCs w:val="22"/>
        </w:rPr>
        <w:t xml:space="preserve">                                                                           </w:t>
      </w:r>
      <w:r>
        <w:rPr>
          <w:color w:val="000000" w:themeColor="text1"/>
          <w:sz w:val="22"/>
          <w:szCs w:val="22"/>
        </w:rPr>
        <w:t xml:space="preserve">      </w:t>
      </w:r>
      <w:r w:rsidRPr="00916B4B">
        <w:rPr>
          <w:color w:val="000000" w:themeColor="text1"/>
          <w:sz w:val="22"/>
          <w:szCs w:val="22"/>
        </w:rPr>
        <w:t xml:space="preserve">  Kaišiadorių r. Žaslių pagrindinės</w:t>
      </w:r>
    </w:p>
    <w:p w:rsidR="002C0B3C" w:rsidRPr="00916B4B" w:rsidRDefault="002C0B3C" w:rsidP="002C0B3C">
      <w:pPr>
        <w:ind w:left="3888" w:firstLine="1296"/>
        <w:rPr>
          <w:color w:val="000000" w:themeColor="text1"/>
          <w:sz w:val="22"/>
          <w:szCs w:val="22"/>
        </w:rPr>
      </w:pPr>
      <w:r w:rsidRPr="00916B4B">
        <w:rPr>
          <w:color w:val="000000" w:themeColor="text1"/>
          <w:sz w:val="22"/>
          <w:szCs w:val="22"/>
        </w:rPr>
        <w:t xml:space="preserve">  mokyklos direktoriaus </w:t>
      </w:r>
    </w:p>
    <w:p w:rsidR="002C0B3C" w:rsidRPr="00916B4B" w:rsidRDefault="002C0B3C" w:rsidP="002C0B3C">
      <w:pPr>
        <w:ind w:left="3888" w:firstLine="1296"/>
        <w:rPr>
          <w:color w:val="000000" w:themeColor="text1"/>
          <w:sz w:val="22"/>
          <w:szCs w:val="22"/>
        </w:rPr>
      </w:pPr>
      <w:r w:rsidRPr="00916B4B">
        <w:rPr>
          <w:color w:val="000000" w:themeColor="text1"/>
          <w:sz w:val="22"/>
          <w:szCs w:val="22"/>
        </w:rPr>
        <w:t xml:space="preserve">  2024 m. rugpjūčio 30 d. įsakymu Nr. V1-124</w:t>
      </w:r>
    </w:p>
    <w:p w:rsidR="002C0B3C" w:rsidRPr="006F382D" w:rsidRDefault="002C0B3C" w:rsidP="002C0B3C">
      <w:pPr>
        <w:spacing w:line="259" w:lineRule="auto"/>
        <w:jc w:val="center"/>
        <w:rPr>
          <w:b/>
          <w:bCs/>
          <w:i/>
          <w:szCs w:val="24"/>
        </w:rPr>
      </w:pPr>
    </w:p>
    <w:p w:rsidR="002C0B3C" w:rsidRPr="006F382D" w:rsidRDefault="002C0B3C" w:rsidP="002C0B3C">
      <w:pPr>
        <w:rPr>
          <w:sz w:val="2"/>
          <w:szCs w:val="2"/>
        </w:rPr>
      </w:pPr>
    </w:p>
    <w:p w:rsidR="002C0B3C" w:rsidRPr="006F382D" w:rsidRDefault="002C0B3C" w:rsidP="002C0B3C">
      <w:pPr>
        <w:spacing w:line="259" w:lineRule="auto"/>
        <w:ind w:firstLine="567"/>
        <w:jc w:val="both"/>
        <w:rPr>
          <w:b/>
          <w:szCs w:val="24"/>
        </w:rPr>
      </w:pPr>
    </w:p>
    <w:p w:rsidR="002C0B3C" w:rsidRPr="006F382D" w:rsidRDefault="002C0B3C" w:rsidP="002C0B3C">
      <w:pPr>
        <w:rPr>
          <w:sz w:val="2"/>
          <w:szCs w:val="2"/>
        </w:rPr>
      </w:pPr>
    </w:p>
    <w:p w:rsidR="002C0B3C" w:rsidRPr="006F382D" w:rsidRDefault="002C0B3C" w:rsidP="002C0B3C">
      <w:pPr>
        <w:jc w:val="center"/>
        <w:rPr>
          <w:b/>
          <w:color w:val="000000" w:themeColor="text1"/>
        </w:rPr>
      </w:pPr>
      <w:r w:rsidRPr="006F382D">
        <w:rPr>
          <w:b/>
          <w:color w:val="000000" w:themeColor="text1"/>
        </w:rPr>
        <w:t>KAIŠIADORIŲ R. ŽASLIŲ PAGRINDINĖ MOKYKLA</w:t>
      </w:r>
    </w:p>
    <w:p w:rsidR="002C0B3C" w:rsidRPr="006F382D" w:rsidRDefault="002C0B3C" w:rsidP="002C0B3C">
      <w:pPr>
        <w:jc w:val="center"/>
        <w:rPr>
          <w:b/>
          <w:color w:val="000000" w:themeColor="text1"/>
        </w:rPr>
      </w:pPr>
    </w:p>
    <w:p w:rsidR="008948A9" w:rsidRPr="002C0B3C" w:rsidRDefault="002C0B3C" w:rsidP="002C0B3C">
      <w:pPr>
        <w:spacing w:line="36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2024–2025</w:t>
      </w:r>
      <w:r w:rsidRPr="009A292C">
        <w:rPr>
          <w:b/>
          <w:color w:val="000000" w:themeColor="text1"/>
        </w:rPr>
        <w:t xml:space="preserve"> </w:t>
      </w:r>
      <w:r w:rsidRPr="006F382D">
        <w:rPr>
          <w:b/>
          <w:color w:val="000000" w:themeColor="text1"/>
        </w:rPr>
        <w:t>MOKSLO METŲ PRADINIO IR PAGRINDIN</w:t>
      </w:r>
      <w:r>
        <w:rPr>
          <w:b/>
          <w:color w:val="000000" w:themeColor="text1"/>
        </w:rPr>
        <w:t>IO UGDYMO PROGRAMŲ UGDYMO PLANAI</w:t>
      </w:r>
    </w:p>
    <w:p w:rsidR="002C0B3C" w:rsidRDefault="002C0B3C"/>
    <w:p w:rsidR="002C0B3C" w:rsidRPr="006F382D" w:rsidRDefault="002C0B3C" w:rsidP="002C0B3C">
      <w:pPr>
        <w:spacing w:line="360" w:lineRule="auto"/>
        <w:jc w:val="center"/>
        <w:rPr>
          <w:b/>
          <w:szCs w:val="24"/>
        </w:rPr>
      </w:pPr>
      <w:r w:rsidRPr="006F382D">
        <w:rPr>
          <w:b/>
          <w:szCs w:val="24"/>
        </w:rPr>
        <w:t>ANTRASIS SKIRSNIS</w:t>
      </w:r>
    </w:p>
    <w:p w:rsidR="002C0B3C" w:rsidRPr="002C0B3C" w:rsidRDefault="002C0B3C" w:rsidP="002C0B3C">
      <w:pPr>
        <w:spacing w:line="360" w:lineRule="auto"/>
        <w:jc w:val="center"/>
        <w:rPr>
          <w:b/>
          <w:szCs w:val="24"/>
        </w:rPr>
      </w:pPr>
      <w:r w:rsidRPr="00C64020">
        <w:rPr>
          <w:b/>
          <w:szCs w:val="24"/>
        </w:rPr>
        <w:t>MOKYKLOS UGDYMO PLANAS</w:t>
      </w:r>
    </w:p>
    <w:p w:rsidR="002C0B3C" w:rsidRDefault="002C0B3C"/>
    <w:p w:rsidR="002C0B3C" w:rsidRPr="009B0294" w:rsidRDefault="002C0B3C" w:rsidP="002C0B3C">
      <w:pPr>
        <w:spacing w:line="360" w:lineRule="auto"/>
        <w:ind w:firstLine="720"/>
        <w:jc w:val="both"/>
      </w:pPr>
      <w:r w:rsidRPr="009B0294">
        <w:rPr>
          <w:b/>
        </w:rPr>
        <w:t>28. Neformaliojo vaikų švietimo organizavimas mokykloje.</w:t>
      </w:r>
      <w:r w:rsidRPr="009B0294">
        <w:t xml:space="preserve"> Neformaliojo vaikų švietimo veikla, skirta papildyti formalųjį ugdymą ir yra grindžiama šiomis kompetencijomis: komunikavimo, kūrybiškumo, kultūrine, socialine, emocine ir sveikos gyvensenos, skaitmenine, pažinimo ir pilietiškumo.</w:t>
      </w:r>
    </w:p>
    <w:p w:rsidR="002C0B3C" w:rsidRDefault="002C0B3C" w:rsidP="002C0B3C">
      <w:pPr>
        <w:spacing w:line="360" w:lineRule="auto"/>
        <w:ind w:firstLine="720"/>
        <w:jc w:val="both"/>
      </w:pPr>
      <w:r w:rsidRPr="009B0294">
        <w:rPr>
          <w:rFonts w:eastAsia="Calibri"/>
        </w:rPr>
        <w:t>29</w:t>
      </w:r>
      <w:r>
        <w:rPr>
          <w:rFonts w:eastAsia="Calibri"/>
        </w:rPr>
        <w:t>. Mokykla mokslo metų pabaigoje</w:t>
      </w:r>
      <w:r w:rsidRPr="009B0294">
        <w:rPr>
          <w:rFonts w:eastAsia="Calibri"/>
        </w:rPr>
        <w:t xml:space="preserve"> </w:t>
      </w:r>
      <w:proofErr w:type="spellStart"/>
      <w:r w:rsidRPr="009B0294">
        <w:rPr>
          <w:rFonts w:eastAsia="Calibri"/>
        </w:rPr>
        <w:t>išsiaškina</w:t>
      </w:r>
      <w:proofErr w:type="spellEnd"/>
      <w:r w:rsidRPr="009B0294">
        <w:rPr>
          <w:rFonts w:eastAsia="Calibri"/>
        </w:rPr>
        <w:t xml:space="preserve"> neformaliojo švietimo užsiėmimų poreikį bei </w:t>
      </w:r>
      <w:r>
        <w:rPr>
          <w:rFonts w:eastAsia="Calibri"/>
        </w:rPr>
        <w:t xml:space="preserve">siūlo neformaliojo </w:t>
      </w:r>
      <w:r w:rsidRPr="009B0294">
        <w:rPr>
          <w:rFonts w:eastAsia="Calibri"/>
        </w:rPr>
        <w:t xml:space="preserve">švietimo programas </w:t>
      </w:r>
      <w:r>
        <w:t>(4</w:t>
      </w:r>
      <w:r w:rsidRPr="009B0294">
        <w:t xml:space="preserve"> priedas), kurios</w:t>
      </w:r>
      <w:r w:rsidRPr="009B0294">
        <w:rPr>
          <w:rFonts w:eastAsia="Calibri"/>
        </w:rPr>
        <w:t xml:space="preserve"> </w:t>
      </w:r>
      <w:r w:rsidRPr="009B0294">
        <w:t xml:space="preserve">įgyvendinamos nuo </w:t>
      </w:r>
      <w:r>
        <w:t>rugsėjo</w:t>
      </w:r>
      <w:r w:rsidRPr="009B0294">
        <w:t xml:space="preserve"> </w:t>
      </w:r>
      <w:r>
        <w:t>2 d.,</w:t>
      </w:r>
      <w:r w:rsidRPr="009B0294">
        <w:t xml:space="preserve"> atsižvelgiant į mokyklos turimas</w:t>
      </w:r>
      <w:r>
        <w:t xml:space="preserve"> lėšas, o mokinių sąrašai </w:t>
      </w:r>
      <w:r>
        <w:rPr>
          <w:rFonts w:eastAsia="Calibri"/>
        </w:rPr>
        <w:t>tikslinami</w:t>
      </w:r>
      <w:r w:rsidRPr="009B0294">
        <w:rPr>
          <w:rFonts w:eastAsia="Calibri"/>
        </w:rPr>
        <w:t xml:space="preserve"> </w:t>
      </w:r>
      <w:r>
        <w:rPr>
          <w:rFonts w:eastAsia="Calibri"/>
        </w:rPr>
        <w:t xml:space="preserve">iki rugsėjo 15 d. </w:t>
      </w:r>
    </w:p>
    <w:p w:rsidR="002C0B3C" w:rsidRPr="009B0294" w:rsidRDefault="002C0B3C" w:rsidP="002C0B3C">
      <w:pPr>
        <w:spacing w:line="360" w:lineRule="auto"/>
        <w:ind w:firstLine="720"/>
        <w:jc w:val="both"/>
      </w:pPr>
      <w:r w:rsidRPr="009B0294">
        <w:t>29</w:t>
      </w:r>
      <w:r>
        <w:t xml:space="preserve">.1. </w:t>
      </w:r>
      <w:r w:rsidRPr="009B0294">
        <w:t>neformaliojo vaikų švietimo valandos skiriamos mokslo metams kiekvienai ugdymo programai, atsižvelgus į veiklos pobūdį, periodiškumą, trukmę;</w:t>
      </w:r>
    </w:p>
    <w:p w:rsidR="002C0B3C" w:rsidRPr="009B0294" w:rsidRDefault="002C0B3C" w:rsidP="002C0B3C">
      <w:pPr>
        <w:spacing w:line="360" w:lineRule="auto"/>
        <w:ind w:firstLine="720"/>
        <w:jc w:val="both"/>
      </w:pPr>
      <w:r w:rsidRPr="009B0294">
        <w:t>29.2. neformaliojo vaikų švietimo programas tvirtina mokyklos direktorius rugsėjo</w:t>
      </w:r>
      <w:r>
        <w:t xml:space="preserve"> 2</w:t>
      </w:r>
      <w:r w:rsidRPr="009B0294">
        <w:t xml:space="preserve"> d.;</w:t>
      </w:r>
    </w:p>
    <w:p w:rsidR="002C0B3C" w:rsidRPr="009B0294" w:rsidRDefault="002C0B3C" w:rsidP="002C0B3C">
      <w:pPr>
        <w:spacing w:line="360" w:lineRule="auto"/>
        <w:ind w:firstLine="720"/>
        <w:jc w:val="both"/>
      </w:pPr>
      <w:r w:rsidRPr="009B0294">
        <w:t>29.3. neformaliojo vaikų švietimo grupės mokinių skaičius yra ne mažesnis kaip 8 mokiniai;</w:t>
      </w:r>
    </w:p>
    <w:p w:rsidR="002C0B3C" w:rsidRPr="009B0294" w:rsidRDefault="002C0B3C" w:rsidP="002C0B3C">
      <w:pPr>
        <w:pStyle w:val="Default"/>
        <w:spacing w:line="360" w:lineRule="auto"/>
        <w:ind w:firstLine="720"/>
        <w:jc w:val="both"/>
        <w:rPr>
          <w:color w:val="auto"/>
          <w:lang w:val="lt-LT"/>
        </w:rPr>
      </w:pPr>
      <w:r w:rsidRPr="009B0294">
        <w:rPr>
          <w:color w:val="auto"/>
          <w:lang w:val="lt-LT"/>
        </w:rPr>
        <w:t>29.4. mokinių grupės sudėtis per mokslo metus gali kisti;</w:t>
      </w:r>
    </w:p>
    <w:p w:rsidR="002C0B3C" w:rsidRPr="009B0294" w:rsidRDefault="002C0B3C" w:rsidP="002C0B3C">
      <w:pPr>
        <w:pStyle w:val="Default"/>
        <w:spacing w:line="360" w:lineRule="auto"/>
        <w:ind w:firstLine="720"/>
        <w:jc w:val="both"/>
        <w:rPr>
          <w:color w:val="auto"/>
          <w:lang w:val="lt-LT"/>
        </w:rPr>
      </w:pPr>
      <w:r w:rsidRPr="009B0294">
        <w:rPr>
          <w:color w:val="auto"/>
          <w:lang w:val="lt-LT"/>
        </w:rPr>
        <w:t xml:space="preserve">29.5. neformalusis švietimas gali būti organizuojami ne tik mokykloje, bet ir už jos ribų, numatant veiklos pobūdį, labiausiai atitinkantį veiklos intensyvumą, periodiškumą, trukmę, išlaikant klasei numatytą valandų skaičių per savaitę; </w:t>
      </w:r>
    </w:p>
    <w:p w:rsidR="002C0B3C" w:rsidRPr="009B0294" w:rsidRDefault="002C0B3C" w:rsidP="002C0B3C">
      <w:pPr>
        <w:spacing w:line="360" w:lineRule="auto"/>
        <w:ind w:firstLine="720"/>
        <w:jc w:val="both"/>
      </w:pPr>
      <w:r w:rsidRPr="009B0294">
        <w:t xml:space="preserve">29.6. neformaliojo ugdymo veikla vykdoma pagal neformaliojo vaikų švietimo užsiėmimų tvarkaraštį, patvirtintą mokyklos direktoriaus. Neformaliojo švietimo veikla organizuojama ir laisvu </w:t>
      </w:r>
      <w:r>
        <w:t xml:space="preserve">laiku </w:t>
      </w:r>
      <w:r w:rsidRPr="009B0294">
        <w:t>tarp pamokų;</w:t>
      </w:r>
    </w:p>
    <w:p w:rsidR="002C0B3C" w:rsidRPr="006F382D" w:rsidRDefault="002C0B3C" w:rsidP="002C0B3C">
      <w:pPr>
        <w:spacing w:line="360" w:lineRule="auto"/>
        <w:ind w:firstLine="720"/>
        <w:jc w:val="both"/>
      </w:pPr>
      <w:r w:rsidRPr="009B0294">
        <w:t>29.7. užsiėmimų apskaita bei veiklos turinys fiksuojami ele</w:t>
      </w:r>
      <w:r w:rsidRPr="006F382D">
        <w:t>ktroniniame dienyne;</w:t>
      </w:r>
    </w:p>
    <w:p w:rsidR="002C0B3C" w:rsidRPr="003F1787" w:rsidRDefault="002C0B3C" w:rsidP="002C0B3C">
      <w:pPr>
        <w:spacing w:line="360" w:lineRule="auto"/>
        <w:ind w:firstLine="720"/>
        <w:jc w:val="both"/>
        <w:rPr>
          <w:color w:val="000000" w:themeColor="text1"/>
        </w:rPr>
      </w:pPr>
      <w:r>
        <w:lastRenderedPageBreak/>
        <w:t>29</w:t>
      </w:r>
      <w:r w:rsidRPr="006F382D">
        <w:t xml:space="preserve">.8. neformaliojo švietimo programose dalyvaujančius mokinius </w:t>
      </w:r>
      <w:r w:rsidRPr="006F382D">
        <w:rPr>
          <w:color w:val="000000" w:themeColor="text1"/>
        </w:rPr>
        <w:t>mokykla žymi Mokinių registre.</w:t>
      </w:r>
    </w:p>
    <w:p w:rsidR="002C0B3C" w:rsidRPr="00B07921" w:rsidRDefault="002C0B3C" w:rsidP="002C0B3C">
      <w:pPr>
        <w:spacing w:line="360" w:lineRule="auto"/>
        <w:ind w:firstLine="720"/>
        <w:jc w:val="both"/>
        <w:rPr>
          <w:color w:val="000000" w:themeColor="text1"/>
        </w:rPr>
      </w:pPr>
      <w:r w:rsidRPr="00B07921">
        <w:rPr>
          <w:color w:val="000000" w:themeColor="text1"/>
        </w:rPr>
        <w:t xml:space="preserve">30. Priemonės mokinių pasiekimams gerinti numatytos  2024 m. mokyklos Detaliajame veiklos plane, patvirtintame Kaišiadorių r. Žaslių pagrindinės mokyklos direktoriaus  2024 m. kovo 13 d. įsakymu Nr. V1-43 „Dėl veiklos planų patvirtinimo“. </w:t>
      </w:r>
    </w:p>
    <w:p w:rsidR="002C0B3C" w:rsidRPr="00C95AB1" w:rsidRDefault="002C0B3C" w:rsidP="002C0B3C">
      <w:pPr>
        <w:spacing w:line="360" w:lineRule="auto"/>
        <w:ind w:firstLine="720"/>
        <w:jc w:val="both"/>
        <w:rPr>
          <w:color w:val="000000" w:themeColor="text1"/>
        </w:rPr>
      </w:pPr>
      <w:r w:rsidRPr="00C95AB1">
        <w:rPr>
          <w:color w:val="000000" w:themeColor="text1"/>
        </w:rPr>
        <w:t xml:space="preserve">31. Mokyklos  direktorius ir direktoriaus pavaduotojas ugdymui stebi dalykų pamokas, neformaliojo švietimo užsiėmimus bei analizuoja, kaip organizuojamas ugdymo procesas, teikiama pagalba mokiniui,  </w:t>
      </w:r>
      <w:proofErr w:type="spellStart"/>
      <w:r>
        <w:rPr>
          <w:color w:val="000000" w:themeColor="text1"/>
        </w:rPr>
        <w:t>į(si)vertina</w:t>
      </w:r>
      <w:r w:rsidRPr="00C95AB1">
        <w:rPr>
          <w:color w:val="000000" w:themeColor="text1"/>
        </w:rPr>
        <w:t>ma</w:t>
      </w:r>
      <w:proofErr w:type="spellEnd"/>
      <w:r w:rsidRPr="00C95AB1">
        <w:rPr>
          <w:color w:val="000000" w:themeColor="text1"/>
        </w:rPr>
        <w:t>, kokie yra mokinių pasiekimai ir daroma pažanga, kaip ugdymo procese įgyvendinamas UTA, ir kt. Pamokos/užsiėmimai aptariami su dalyko mokytoju</w:t>
      </w:r>
      <w:r w:rsidRPr="00C95AB1">
        <w:rPr>
          <w:i/>
          <w:iCs/>
          <w:color w:val="000000" w:themeColor="text1"/>
        </w:rPr>
        <w:t xml:space="preserve"> </w:t>
      </w:r>
      <w:r w:rsidRPr="00C95AB1">
        <w:rPr>
          <w:color w:val="000000" w:themeColor="text1"/>
        </w:rPr>
        <w:t>ar neformaliojo švietimo programos vadovu individualiai.  Pamokas/užsiėmimus gali stebėti ir aptarti kolegos. Bendros ugdymo proceso stebėjimo išvados ir rekomendacijos aptariamos mokytojų susirinkimuose.</w:t>
      </w:r>
    </w:p>
    <w:p w:rsidR="002C0B3C" w:rsidRPr="00C95AB1" w:rsidRDefault="002C0B3C" w:rsidP="002C0B3C">
      <w:pPr>
        <w:spacing w:line="360" w:lineRule="auto"/>
        <w:ind w:firstLine="720"/>
        <w:jc w:val="both"/>
        <w:rPr>
          <w:color w:val="000000" w:themeColor="text1"/>
        </w:rPr>
      </w:pPr>
      <w:r w:rsidRPr="00C95AB1">
        <w:rPr>
          <w:color w:val="000000" w:themeColor="text1"/>
        </w:rPr>
        <w:t xml:space="preserve">32. Mokyklos direktoriaus pavaduotojas ugdymui atsakingas už UTA įgyvendinimą mokykloje, mokymosi pasiekimų gerinimo ir mokymosi pagalbos teikimo koordinavimą. </w:t>
      </w:r>
    </w:p>
    <w:p w:rsidR="002C0B3C" w:rsidRDefault="002C0B3C"/>
    <w:p w:rsidR="002C0B3C" w:rsidRDefault="002C0B3C" w:rsidP="002C0B3C">
      <w:pPr>
        <w:jc w:val="center"/>
      </w:pPr>
      <w:r>
        <w:t>_____________________</w:t>
      </w:r>
      <w:bookmarkStart w:id="0" w:name="_GoBack"/>
      <w:bookmarkEnd w:id="0"/>
    </w:p>
    <w:sectPr w:rsidR="002C0B3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B3C"/>
    <w:rsid w:val="002547A1"/>
    <w:rsid w:val="002C0B3C"/>
    <w:rsid w:val="00866C5E"/>
    <w:rsid w:val="008948A9"/>
    <w:rsid w:val="00BB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C0B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2C0B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Patvirtinta">
    <w:name w:val="Patvirtinta"/>
    <w:rsid w:val="002C0B3C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spacing w:after="0" w:line="240" w:lineRule="auto"/>
      <w:ind w:left="5953"/>
    </w:pPr>
    <w:rPr>
      <w:rFonts w:ascii="TimesLT" w:eastAsia="Times New Roman" w:hAnsi="TimesLT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C0B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2C0B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Patvirtinta">
    <w:name w:val="Patvirtinta"/>
    <w:rsid w:val="002C0B3C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spacing w:after="0" w:line="240" w:lineRule="auto"/>
      <w:ind w:left="5953"/>
    </w:pPr>
    <w:rPr>
      <w:rFonts w:ascii="TimesLT" w:eastAsia="Times New Roman" w:hAnsi="TimesLT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1935</Words>
  <Characters>1103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1</cp:revision>
  <dcterms:created xsi:type="dcterms:W3CDTF">2024-11-11T05:41:00Z</dcterms:created>
  <dcterms:modified xsi:type="dcterms:W3CDTF">2024-11-11T05:43:00Z</dcterms:modified>
</cp:coreProperties>
</file>